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9C219" w14:textId="77777777" w:rsidR="00302303" w:rsidRPr="007647CD" w:rsidRDefault="00302303" w:rsidP="00302303">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48580C1A" w14:textId="77777777" w:rsidR="00302303" w:rsidRPr="007647CD" w:rsidRDefault="00302303" w:rsidP="00302303">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74D5252C" w14:textId="77777777" w:rsidR="00302303" w:rsidRPr="007647CD" w:rsidRDefault="00302303" w:rsidP="00302303">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00001F" w14:textId="29A0B247" w:rsidR="00302303" w:rsidRPr="007647CD" w:rsidRDefault="00161812" w:rsidP="00302303">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24.12.2025</w:t>
      </w:r>
      <w:bookmarkStart w:id="0" w:name="_GoBack"/>
      <w:bookmarkEnd w:id="0"/>
      <w:r w:rsidR="00045B37">
        <w:rPr>
          <w:rFonts w:ascii="Times New Roman" w:hAnsi="Times New Roman" w:cs="Times New Roman"/>
          <w:sz w:val="28"/>
          <w:szCs w:val="28"/>
        </w:rPr>
        <w:t xml:space="preserve"> </w:t>
      </w:r>
      <w:r w:rsidR="00302303" w:rsidRPr="007647CD">
        <w:rPr>
          <w:rFonts w:ascii="Times New Roman" w:hAnsi="Times New Roman" w:cs="Times New Roman"/>
          <w:sz w:val="28"/>
          <w:szCs w:val="28"/>
        </w:rPr>
        <w:t xml:space="preserve">№ </w:t>
      </w:r>
      <w:r>
        <w:rPr>
          <w:rFonts w:ascii="Times New Roman" w:hAnsi="Times New Roman" w:cs="Times New Roman"/>
          <w:sz w:val="28"/>
          <w:szCs w:val="28"/>
        </w:rPr>
        <w:t>2131</w:t>
      </w:r>
    </w:p>
    <w:p w14:paraId="0B1177E9" w14:textId="77777777" w:rsidR="00302303" w:rsidRDefault="00302303" w:rsidP="00302303">
      <w:pPr>
        <w:jc w:val="center"/>
        <w:rPr>
          <w:rFonts w:ascii="Times New Roman" w:hAnsi="Times New Roman" w:cs="Times New Roman"/>
          <w:b/>
          <w:bCs/>
          <w:sz w:val="28"/>
          <w:szCs w:val="28"/>
        </w:rPr>
      </w:pPr>
    </w:p>
    <w:p w14:paraId="3831E689" w14:textId="77777777" w:rsidR="00302303" w:rsidRPr="00460C42" w:rsidRDefault="00302303" w:rsidP="00302303">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6D65D4C8" w14:textId="77777777" w:rsidR="00302303" w:rsidRPr="00460C42" w:rsidRDefault="00302303" w:rsidP="00302303">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76A0F3A4" w14:textId="77777777" w:rsidR="00302303" w:rsidRPr="00460C42" w:rsidRDefault="00302303" w:rsidP="00302303">
      <w:pPr>
        <w:jc w:val="both"/>
        <w:rPr>
          <w:rFonts w:ascii="Times New Roman" w:hAnsi="Times New Roman" w:cs="Times New Roman"/>
          <w:b/>
          <w:bCs/>
          <w:sz w:val="28"/>
          <w:szCs w:val="28"/>
        </w:rPr>
      </w:pPr>
    </w:p>
    <w:p w14:paraId="17AFC581" w14:textId="77777777" w:rsidR="00302303" w:rsidRPr="00460C42" w:rsidRDefault="00302303" w:rsidP="00302303">
      <w:pPr>
        <w:numPr>
          <w:ilvl w:val="0"/>
          <w:numId w:val="1"/>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4D38A122" w14:textId="77777777" w:rsidR="00302303" w:rsidRPr="00460C42" w:rsidRDefault="00302303" w:rsidP="00302303">
      <w:pPr>
        <w:autoSpaceDE w:val="0"/>
        <w:autoSpaceDN w:val="0"/>
        <w:adjustRightInd w:val="0"/>
        <w:jc w:val="both"/>
        <w:outlineLvl w:val="1"/>
        <w:rPr>
          <w:rFonts w:ascii="Times New Roman" w:hAnsi="Times New Roman" w:cs="Times New Roman"/>
          <w:sz w:val="28"/>
          <w:szCs w:val="28"/>
        </w:rPr>
      </w:pPr>
    </w:p>
    <w:p w14:paraId="108A62D5" w14:textId="77777777" w:rsidR="00302303" w:rsidRPr="00460C42" w:rsidRDefault="00302303" w:rsidP="00302303">
      <w:pPr>
        <w:numPr>
          <w:ilvl w:val="1"/>
          <w:numId w:val="2"/>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27FE31D0" w14:textId="77777777" w:rsidR="00302303" w:rsidRPr="00460C42" w:rsidRDefault="00302303" w:rsidP="00302303">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5DC9C763" w14:textId="77777777" w:rsidR="00302303" w:rsidRPr="00460C42" w:rsidRDefault="00302303" w:rsidP="00302303">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20F2FE1A" w14:textId="77777777" w:rsidR="00302303" w:rsidRPr="00460C42" w:rsidRDefault="00302303" w:rsidP="00302303">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50AFCD2" w14:textId="77777777" w:rsidR="00302303" w:rsidRPr="00460C42" w:rsidRDefault="00302303" w:rsidP="00302303">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3191C1CE" w14:textId="77777777" w:rsidR="00302303" w:rsidRPr="00460C42" w:rsidRDefault="00302303" w:rsidP="00302303">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3FC4DA8C" w14:textId="77777777" w:rsidR="00302303" w:rsidRPr="00460C42" w:rsidRDefault="00302303" w:rsidP="00302303">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7E00F71C"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5" w:history="1">
        <w:r w:rsidRPr="00460C42">
          <w:rPr>
            <w:rStyle w:val="a3"/>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0614ED9A"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BEBED4E"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54FBCAA9"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5A9AA303" w14:textId="77777777" w:rsidR="00302303" w:rsidRPr="00460C42" w:rsidRDefault="00302303" w:rsidP="00302303">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796CA053"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74F821E" w14:textId="77777777" w:rsidR="00302303" w:rsidRDefault="00302303" w:rsidP="00302303">
      <w:pPr>
        <w:pStyle w:val="a4"/>
        <w:numPr>
          <w:ilvl w:val="0"/>
          <w:numId w:val="3"/>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203F9D61" w14:textId="77777777" w:rsidR="00302303" w:rsidRDefault="00302303" w:rsidP="00302303">
      <w:pPr>
        <w:pStyle w:val="a4"/>
        <w:numPr>
          <w:ilvl w:val="0"/>
          <w:numId w:val="3"/>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43855BF8" w14:textId="77777777" w:rsidR="00302303" w:rsidRPr="00EA1FF8" w:rsidRDefault="00302303" w:rsidP="00302303">
      <w:pPr>
        <w:pStyle w:val="a4"/>
        <w:numPr>
          <w:ilvl w:val="0"/>
          <w:numId w:val="3"/>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6E2608BD" w14:textId="77777777" w:rsidR="00302303" w:rsidRPr="00460C42" w:rsidRDefault="00302303" w:rsidP="00302303">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442A3E16" w14:textId="77777777" w:rsidR="00302303" w:rsidRPr="00460C42" w:rsidRDefault="00302303" w:rsidP="00302303">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239C9C8C" w14:textId="77777777" w:rsidR="00302303" w:rsidRPr="00460C42" w:rsidRDefault="00302303" w:rsidP="00302303">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4A2E766F" w14:textId="77777777" w:rsidR="00302303" w:rsidRPr="00460C42" w:rsidRDefault="00302303" w:rsidP="00302303">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7382566A" w14:textId="77777777" w:rsidR="00302303" w:rsidRPr="00460C42" w:rsidRDefault="00302303" w:rsidP="00302303">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6A3A1565" w14:textId="77777777" w:rsidR="00302303" w:rsidRDefault="00302303" w:rsidP="00302303">
      <w:pPr>
        <w:numPr>
          <w:ilvl w:val="1"/>
          <w:numId w:val="4"/>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5153AB51" w14:textId="77777777" w:rsidR="00302303" w:rsidRPr="00460C42" w:rsidRDefault="00302303" w:rsidP="00302303">
      <w:pPr>
        <w:tabs>
          <w:tab w:val="left" w:pos="993"/>
          <w:tab w:val="left" w:pos="1276"/>
        </w:tabs>
        <w:autoSpaceDE w:val="0"/>
        <w:autoSpaceDN w:val="0"/>
        <w:ind w:left="709"/>
        <w:jc w:val="both"/>
        <w:rPr>
          <w:rFonts w:ascii="Times New Roman" w:hAnsi="Times New Roman" w:cs="Times New Roman"/>
          <w:b/>
          <w:kern w:val="2"/>
          <w:sz w:val="28"/>
          <w:szCs w:val="28"/>
        </w:rPr>
      </w:pPr>
    </w:p>
    <w:p w14:paraId="11E02449" w14:textId="77777777" w:rsidR="00302303" w:rsidRPr="00460C42" w:rsidRDefault="00302303" w:rsidP="00302303">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5EDCC089" w14:textId="77777777" w:rsidR="00302303" w:rsidRDefault="00302303" w:rsidP="00302303">
      <w:pPr>
        <w:pStyle w:val="a4"/>
        <w:numPr>
          <w:ilvl w:val="0"/>
          <w:numId w:val="5"/>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55D33490" w14:textId="77777777" w:rsidR="00302303" w:rsidRDefault="00302303" w:rsidP="00302303">
      <w:pPr>
        <w:pStyle w:val="a4"/>
        <w:numPr>
          <w:ilvl w:val="0"/>
          <w:numId w:val="5"/>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22946EA0" w14:textId="77777777" w:rsidR="00302303" w:rsidRPr="00EA1FF8" w:rsidRDefault="00302303" w:rsidP="00302303">
      <w:pPr>
        <w:pStyle w:val="a4"/>
        <w:numPr>
          <w:ilvl w:val="0"/>
          <w:numId w:val="5"/>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3364C2B2" w14:textId="77777777" w:rsidR="00302303" w:rsidRDefault="00161812" w:rsidP="00302303">
      <w:pPr>
        <w:tabs>
          <w:tab w:val="left" w:pos="426"/>
        </w:tabs>
        <w:autoSpaceDE w:val="0"/>
        <w:autoSpaceDN w:val="0"/>
        <w:adjustRightInd w:val="0"/>
        <w:ind w:firstLine="709"/>
        <w:jc w:val="both"/>
        <w:rPr>
          <w:rFonts w:ascii="Times New Roman" w:hAnsi="Times New Roman" w:cs="Times New Roman"/>
          <w:kern w:val="2"/>
          <w:sz w:val="28"/>
          <w:szCs w:val="28"/>
        </w:rPr>
      </w:pPr>
      <w:hyperlink r:id="rId6" w:history="1">
        <w:r w:rsidR="00302303" w:rsidRPr="009B3C3A">
          <w:rPr>
            <w:rStyle w:val="a3"/>
            <w:rFonts w:ascii="Times New Roman" w:hAnsi="Times New Roman" w:cs="Times New Roman"/>
            <w:color w:val="auto"/>
            <w:kern w:val="2"/>
            <w:sz w:val="28"/>
            <w:szCs w:val="28"/>
          </w:rPr>
          <w:t>Стратегией</w:t>
        </w:r>
      </w:hyperlink>
      <w:r w:rsidR="00302303"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3B8E06F3" w14:textId="77777777" w:rsidR="00302303" w:rsidRDefault="00302303" w:rsidP="00302303">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52AD5B6A" w14:textId="77777777" w:rsidR="00302303" w:rsidRPr="00EA1FF8" w:rsidRDefault="00302303" w:rsidP="00302303">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5F98C1C1" w14:textId="77777777" w:rsidR="00302303" w:rsidRDefault="00302303" w:rsidP="00302303">
      <w:pPr>
        <w:pStyle w:val="a4"/>
        <w:numPr>
          <w:ilvl w:val="0"/>
          <w:numId w:val="5"/>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024DF790" w14:textId="77777777" w:rsidR="00302303" w:rsidRDefault="00302303" w:rsidP="00302303">
      <w:pPr>
        <w:pStyle w:val="a4"/>
        <w:numPr>
          <w:ilvl w:val="0"/>
          <w:numId w:val="5"/>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041EF8C0" w14:textId="77777777" w:rsidR="00302303" w:rsidRPr="00EA1FF8" w:rsidRDefault="00302303" w:rsidP="00302303">
      <w:pPr>
        <w:pStyle w:val="a4"/>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3339A263" w14:textId="77777777" w:rsidR="00302303" w:rsidRPr="00EA1FF8" w:rsidRDefault="00302303" w:rsidP="00302303">
      <w:pPr>
        <w:pStyle w:val="a4"/>
        <w:numPr>
          <w:ilvl w:val="0"/>
          <w:numId w:val="5"/>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4517891F" w14:textId="77777777" w:rsidR="00302303" w:rsidRPr="00EA1FF8" w:rsidRDefault="00302303" w:rsidP="00302303">
      <w:pPr>
        <w:pStyle w:val="a4"/>
        <w:numPr>
          <w:ilvl w:val="0"/>
          <w:numId w:val="5"/>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2F43AB3" w14:textId="77777777" w:rsidR="00302303" w:rsidRPr="00460C42" w:rsidRDefault="00302303" w:rsidP="00302303">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E7CAB4F" w14:textId="77777777" w:rsidR="00302303" w:rsidRPr="00EA1FF8" w:rsidRDefault="00302303" w:rsidP="00302303">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6FC4DE12" w14:textId="77777777" w:rsidR="00302303" w:rsidRDefault="00302303" w:rsidP="00302303">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6E8859B7" w14:textId="77777777" w:rsidR="00302303" w:rsidRDefault="00302303" w:rsidP="00302303">
      <w:pPr>
        <w:jc w:val="both"/>
        <w:rPr>
          <w:rFonts w:ascii="Times New Roman" w:hAnsi="Times New Roman" w:cs="Times New Roman"/>
          <w:sz w:val="28"/>
          <w:szCs w:val="28"/>
        </w:rPr>
      </w:pPr>
    </w:p>
    <w:p w14:paraId="7FE6A103" w14:textId="77777777" w:rsidR="00302303" w:rsidRPr="00460C42" w:rsidRDefault="00302303" w:rsidP="00302303">
      <w:pPr>
        <w:pStyle w:val="a4"/>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Pr="00460C42">
        <w:rPr>
          <w:rFonts w:ascii="Times New Roman" w:hAnsi="Times New Roman" w:cs="Times New Roman"/>
          <w:b/>
          <w:bCs/>
          <w:sz w:val="28"/>
          <w:szCs w:val="28"/>
        </w:rPr>
        <w:t>Задачи, определенные в соответствии с национальными целями</w:t>
      </w:r>
    </w:p>
    <w:p w14:paraId="4DBBE0B5"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3BA859E5"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448D6D60"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00A9C4C9"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0BEEFC62"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6A54F944"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58EB9DD9"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621384D1"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21DB30DA"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70EDD663"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6F4680D5"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7EC968BB"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0FC3C9CB"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65212DF6"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44ED1F91"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57E0D86A"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7DB3312"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5F432E33"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2F50539D"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37A475E4"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3B4B8D16"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5C7055FD"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5C9FB24F"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75887403"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0ED785D6" w14:textId="77777777" w:rsidR="00302303" w:rsidRPr="006A7ED0"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7D362833" w14:textId="77777777" w:rsidR="00302303"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21B114FB" w14:textId="77777777" w:rsidR="00302303"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p>
    <w:p w14:paraId="217E9CC1" w14:textId="77777777" w:rsidR="00302303" w:rsidRPr="00460C42" w:rsidRDefault="00302303" w:rsidP="00302303">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11505B1A" w14:textId="77777777" w:rsidR="00302303" w:rsidRPr="00EA1FF8" w:rsidRDefault="00302303" w:rsidP="00302303">
      <w:pPr>
        <w:pStyle w:val="a4"/>
        <w:numPr>
          <w:ilvl w:val="0"/>
          <w:numId w:val="6"/>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52C3B6C2" w14:textId="77777777" w:rsidR="00302303" w:rsidRPr="00460C42" w:rsidRDefault="00302303" w:rsidP="00302303">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394700CD" w14:textId="77777777" w:rsidR="00302303" w:rsidRDefault="00302303" w:rsidP="00302303">
      <w:pPr>
        <w:pStyle w:val="a4"/>
        <w:numPr>
          <w:ilvl w:val="0"/>
          <w:numId w:val="7"/>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3F68785" w14:textId="77777777" w:rsidR="00302303" w:rsidRDefault="00302303" w:rsidP="00302303">
      <w:pPr>
        <w:pStyle w:val="a4"/>
        <w:numPr>
          <w:ilvl w:val="0"/>
          <w:numId w:val="7"/>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53B9EB5B" w14:textId="77777777" w:rsidR="00302303" w:rsidRDefault="00302303" w:rsidP="00302303">
      <w:pPr>
        <w:pStyle w:val="a4"/>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1E86ED95" w14:textId="77777777" w:rsidR="00302303" w:rsidRPr="00153BC3" w:rsidRDefault="00302303" w:rsidP="0030230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395539B5" w14:textId="77777777" w:rsidR="00302303" w:rsidRPr="00153BC3" w:rsidRDefault="00302303" w:rsidP="00302303">
      <w:pPr>
        <w:pStyle w:val="a4"/>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Снижение уровня загрязнения окружающей среды: снижение выбросов вредных веществ в атмосферу, улучшение качества воды и почвы.</w:t>
      </w:r>
    </w:p>
    <w:p w14:paraId="1593A0A9" w14:textId="77777777" w:rsidR="00302303" w:rsidRPr="00153BC3" w:rsidRDefault="00302303" w:rsidP="00302303">
      <w:pPr>
        <w:pStyle w:val="a4"/>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5B8726F2" w14:textId="77777777" w:rsidR="00302303" w:rsidRPr="00153BC3" w:rsidRDefault="00302303" w:rsidP="00302303">
      <w:pPr>
        <w:pStyle w:val="a4"/>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6AEDEA8D" w14:textId="77777777" w:rsidR="00302303" w:rsidRPr="00153BC3" w:rsidRDefault="00302303" w:rsidP="0030230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444C1EDB" w14:textId="77777777" w:rsidR="00302303" w:rsidRPr="00153BC3" w:rsidRDefault="00302303" w:rsidP="0030230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3748864F" w14:textId="77777777" w:rsidR="00302303" w:rsidRPr="00153BC3" w:rsidRDefault="00302303" w:rsidP="0030230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74555ADD" w14:textId="77777777" w:rsidR="00302303" w:rsidRDefault="00302303" w:rsidP="00302303">
      <w:pPr>
        <w:pStyle w:val="a4"/>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098BCC25" w14:textId="77777777" w:rsidR="00302303" w:rsidRPr="00A965DA" w:rsidRDefault="00302303" w:rsidP="00302303">
      <w:pPr>
        <w:pStyle w:val="a4"/>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532364A8" w14:textId="77777777" w:rsidR="00302303" w:rsidRPr="00460C42" w:rsidRDefault="00302303" w:rsidP="00302303">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0FD96A3C" w14:textId="77777777" w:rsidR="00302303" w:rsidRPr="00460C42" w:rsidRDefault="00302303" w:rsidP="00302303">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22CD342D" w14:textId="77777777" w:rsidR="00302303" w:rsidRDefault="00302303" w:rsidP="00302303">
      <w:pPr>
        <w:pStyle w:val="a4"/>
        <w:numPr>
          <w:ilvl w:val="0"/>
          <w:numId w:val="7"/>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557548D" w14:textId="77777777" w:rsidR="00302303" w:rsidRDefault="00302303" w:rsidP="00302303">
      <w:pPr>
        <w:pStyle w:val="a4"/>
        <w:numPr>
          <w:ilvl w:val="0"/>
          <w:numId w:val="7"/>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72537385" w14:textId="77777777" w:rsidR="00302303" w:rsidRDefault="00302303" w:rsidP="00302303">
      <w:pPr>
        <w:pStyle w:val="a4"/>
        <w:numPr>
          <w:ilvl w:val="0"/>
          <w:numId w:val="7"/>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0683AE68" w14:textId="77777777" w:rsidR="00302303" w:rsidRDefault="00302303" w:rsidP="00302303">
      <w:pPr>
        <w:pStyle w:val="a4"/>
        <w:numPr>
          <w:ilvl w:val="0"/>
          <w:numId w:val="7"/>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04C66D47" w14:textId="77777777" w:rsidR="00302303" w:rsidRPr="00153BC3" w:rsidRDefault="00302303" w:rsidP="00302303">
      <w:pPr>
        <w:pStyle w:val="a4"/>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4B5AF7B0" w14:textId="77777777" w:rsidR="00302303" w:rsidRPr="00153BC3" w:rsidRDefault="00302303" w:rsidP="00302303">
      <w:pPr>
        <w:pStyle w:val="a4"/>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7BDCEBEF" w14:textId="77777777" w:rsidR="00302303" w:rsidRDefault="00302303" w:rsidP="00302303">
      <w:pPr>
        <w:pStyle w:val="a4"/>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65541739" w14:textId="77777777" w:rsidR="00302303" w:rsidRDefault="00302303" w:rsidP="00302303">
      <w:pPr>
        <w:pStyle w:val="a4"/>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660BD905" w14:textId="77777777" w:rsidR="00302303" w:rsidRPr="00153BC3" w:rsidRDefault="00302303" w:rsidP="0030230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6F91838F" w14:textId="77777777" w:rsidR="00302303" w:rsidRPr="00153BC3" w:rsidRDefault="00302303" w:rsidP="0030230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3C70F09F" w14:textId="77777777" w:rsidR="00302303" w:rsidRPr="00153BC3" w:rsidRDefault="00302303" w:rsidP="0030230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53CBDE59" w14:textId="77777777" w:rsidR="00302303" w:rsidRDefault="00302303" w:rsidP="00302303">
      <w:pPr>
        <w:pStyle w:val="a4"/>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4F1DED53" w14:textId="77777777" w:rsidR="00302303" w:rsidRPr="00A965DA" w:rsidRDefault="00302303" w:rsidP="00302303">
      <w:pPr>
        <w:pStyle w:val="a4"/>
        <w:tabs>
          <w:tab w:val="left" w:pos="567"/>
          <w:tab w:val="left" w:pos="993"/>
        </w:tabs>
        <w:autoSpaceDE w:val="0"/>
        <w:autoSpaceDN w:val="0"/>
        <w:adjustRightInd w:val="0"/>
        <w:ind w:left="709"/>
        <w:jc w:val="both"/>
        <w:rPr>
          <w:rFonts w:ascii="Times New Roman" w:hAnsi="Times New Roman" w:cs="Times New Roman"/>
          <w:sz w:val="28"/>
          <w:szCs w:val="28"/>
        </w:rPr>
      </w:pPr>
    </w:p>
    <w:p w14:paraId="4A265FB2" w14:textId="77777777" w:rsidR="00302303" w:rsidRPr="00460C42" w:rsidRDefault="00302303" w:rsidP="00302303">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Pr="00460C42">
        <w:rPr>
          <w:rFonts w:ascii="Times New Roman" w:hAnsi="Times New Roman" w:cs="Times New Roman"/>
          <w:kern w:val="2"/>
          <w:sz w:val="28"/>
          <w:szCs w:val="28"/>
        </w:rPr>
        <w:t>Повышение уровня формирования комфортной городской среды.</w:t>
      </w:r>
    </w:p>
    <w:p w14:paraId="3D3201A3" w14:textId="77777777" w:rsidR="00302303" w:rsidRPr="00460C42" w:rsidRDefault="00302303" w:rsidP="00302303">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4275991D" w14:textId="77777777" w:rsidR="00302303" w:rsidRDefault="00302303" w:rsidP="00302303">
      <w:pPr>
        <w:pStyle w:val="a4"/>
        <w:numPr>
          <w:ilvl w:val="0"/>
          <w:numId w:val="7"/>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347FD1A4" w14:textId="77777777" w:rsidR="00302303" w:rsidRDefault="00302303" w:rsidP="00302303">
      <w:pPr>
        <w:pStyle w:val="a4"/>
        <w:numPr>
          <w:ilvl w:val="0"/>
          <w:numId w:val="7"/>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269A4DD5" w14:textId="77777777" w:rsidR="00302303" w:rsidRPr="00A965DA" w:rsidRDefault="00302303" w:rsidP="00302303">
      <w:pPr>
        <w:pStyle w:val="a4"/>
        <w:numPr>
          <w:ilvl w:val="0"/>
          <w:numId w:val="7"/>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589CB399" w14:textId="77777777" w:rsidR="0038650C" w:rsidRDefault="0038650C"/>
    <w:sectPr w:rsidR="003865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1"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2"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2E"/>
    <w:rsid w:val="00045B37"/>
    <w:rsid w:val="00161812"/>
    <w:rsid w:val="00302303"/>
    <w:rsid w:val="0038650C"/>
    <w:rsid w:val="00775B55"/>
    <w:rsid w:val="00A2182E"/>
    <w:rsid w:val="00E10EA8"/>
    <w:rsid w:val="00E6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FDB6"/>
  <w15:chartTrackingRefBased/>
  <w15:docId w15:val="{5DE39074-BAB3-4CB6-98A6-5F928EE80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303"/>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2303"/>
    <w:rPr>
      <w:color w:val="0563C1" w:themeColor="hyperlink"/>
      <w:u w:val="single"/>
    </w:rPr>
  </w:style>
  <w:style w:type="paragraph" w:styleId="a4">
    <w:name w:val="List Paragraph"/>
    <w:basedOn w:val="a"/>
    <w:uiPriority w:val="34"/>
    <w:qFormat/>
    <w:rsid w:val="00302303"/>
    <w:pPr>
      <w:ind w:left="720"/>
      <w:contextualSpacing/>
    </w:pPr>
  </w:style>
  <w:style w:type="paragraph" w:styleId="a5">
    <w:name w:val="Balloon Text"/>
    <w:basedOn w:val="a"/>
    <w:link w:val="a6"/>
    <w:uiPriority w:val="99"/>
    <w:semiHidden/>
    <w:unhideWhenUsed/>
    <w:rsid w:val="00161812"/>
    <w:rPr>
      <w:rFonts w:ascii="Segoe UI" w:hAnsi="Segoe UI" w:cs="Segoe UI"/>
      <w:sz w:val="18"/>
      <w:szCs w:val="18"/>
    </w:rPr>
  </w:style>
  <w:style w:type="character" w:customStyle="1" w:styleId="a6">
    <w:name w:val="Текст выноски Знак"/>
    <w:basedOn w:val="a0"/>
    <w:link w:val="a5"/>
    <w:uiPriority w:val="99"/>
    <w:semiHidden/>
    <w:rsid w:val="00161812"/>
    <w:rPr>
      <w:rFonts w:ascii="Segoe UI" w:eastAsia="Microsoft Sans Serif" w:hAnsi="Segoe UI" w:cs="Segoe UI"/>
      <w:color w:val="000000"/>
      <w:sz w:val="18"/>
      <w:szCs w:val="1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3230&amp;dst=100008" TargetMode="External"/><Relationship Id="rId5" Type="http://schemas.openxmlformats.org/officeDocument/2006/relationships/hyperlink" Target="consultantplus://offline/ref=F6870DC6F35E700012A82203CEDE2FDD698E431E3D66DD2C2885F4F40BEF3675B3B6B9EE2991E916F28BCD9145F8S2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2155</Words>
  <Characters>12288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User36</cp:lastModifiedBy>
  <cp:revision>7</cp:revision>
  <cp:lastPrinted>2025-12-24T05:27:00Z</cp:lastPrinted>
  <dcterms:created xsi:type="dcterms:W3CDTF">2025-11-10T01:44:00Z</dcterms:created>
  <dcterms:modified xsi:type="dcterms:W3CDTF">2025-12-24T05:27:00Z</dcterms:modified>
</cp:coreProperties>
</file>